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575C" w:rsidRPr="005F01CB" w:rsidRDefault="00055416" w:rsidP="008A6DCE">
      <w:r w:rsidRPr="005F01CB">
        <w:t>AP U.S. Government Final Exam Review</w:t>
      </w:r>
    </w:p>
    <w:p w:rsidR="00055416" w:rsidRPr="005F01CB" w:rsidRDefault="00055416" w:rsidP="008A6DCE"/>
    <w:p w:rsidR="00055416" w:rsidRPr="005F01CB" w:rsidRDefault="00055416" w:rsidP="008A6DCE">
      <w:pPr>
        <w:pStyle w:val="NormalWeb"/>
        <w:rPr>
          <w:rFonts w:asciiTheme="minorHAnsi" w:hAnsiTheme="minorHAnsi"/>
        </w:rPr>
      </w:pPr>
      <w:r w:rsidRPr="005F01CB">
        <w:rPr>
          <w:rFonts w:asciiTheme="minorHAnsi" w:hAnsiTheme="minorHAnsi"/>
          <w:color w:val="4C4C4C"/>
        </w:rPr>
        <w:t>Foundational Documents</w:t>
      </w:r>
      <w:r w:rsidR="00F77175" w:rsidRPr="005F01CB">
        <w:rPr>
          <w:rFonts w:asciiTheme="minorHAnsi" w:hAnsiTheme="minorHAnsi"/>
          <w:color w:val="4C4C4C"/>
        </w:rPr>
        <w:t>:</w:t>
      </w:r>
      <w:r w:rsidRPr="005F01CB">
        <w:rPr>
          <w:rFonts w:asciiTheme="minorHAnsi" w:hAnsiTheme="minorHAnsi"/>
          <w:color w:val="4C4C4C"/>
        </w:rPr>
        <w:t xml:space="preserve"> </w:t>
      </w:r>
    </w:p>
    <w:p w:rsidR="00055416" w:rsidRPr="005F01CB" w:rsidRDefault="00055416" w:rsidP="008A6DCE">
      <w:pPr>
        <w:pStyle w:val="NormalWeb"/>
        <w:rPr>
          <w:rFonts w:asciiTheme="minorHAnsi" w:hAnsiTheme="minorHAnsi"/>
        </w:rPr>
      </w:pPr>
      <w:r w:rsidRPr="005F01CB">
        <w:rPr>
          <w:rFonts w:asciiTheme="minorHAnsi" w:hAnsiTheme="minorHAnsi"/>
        </w:rPr>
        <w:t>The AP U.S. Government and Politics course features nine required foundational documents to help students understand the philosophies of the founders and their critics.</w:t>
      </w:r>
      <w:r w:rsidR="005F01CB">
        <w:rPr>
          <w:rFonts w:asciiTheme="minorHAnsi" w:hAnsiTheme="minorHAnsi"/>
        </w:rPr>
        <w:t xml:space="preserve">  </w:t>
      </w:r>
      <w:r w:rsidR="005F01CB" w:rsidRPr="005F01CB">
        <w:rPr>
          <w:rFonts w:asciiTheme="minorHAnsi" w:hAnsiTheme="minorHAnsi"/>
          <w:b/>
          <w:u w:val="single"/>
        </w:rPr>
        <w:t>You need to list 3 critic</w:t>
      </w:r>
      <w:bookmarkStart w:id="0" w:name="_GoBack"/>
      <w:bookmarkEnd w:id="0"/>
      <w:r w:rsidR="005F01CB" w:rsidRPr="005F01CB">
        <w:rPr>
          <w:rFonts w:asciiTheme="minorHAnsi" w:hAnsiTheme="minorHAnsi"/>
          <w:b/>
          <w:u w:val="single"/>
        </w:rPr>
        <w:t>al pieces of information from each document.</w:t>
      </w:r>
    </w:p>
    <w:p w:rsidR="00055416" w:rsidRPr="005F01CB" w:rsidRDefault="00055416" w:rsidP="008A6DCE">
      <w:pPr>
        <w:pStyle w:val="NormalWeb"/>
        <w:rPr>
          <w:rFonts w:asciiTheme="minorHAnsi" w:hAnsiTheme="minorHAnsi"/>
        </w:rPr>
      </w:pPr>
      <w:r w:rsidRPr="005F01CB">
        <w:rPr>
          <w:rFonts w:asciiTheme="minorHAnsi" w:hAnsiTheme="minorHAnsi"/>
        </w:rPr>
        <w:t xml:space="preserve">These documents are: </w:t>
      </w:r>
    </w:p>
    <w:p w:rsidR="00055416" w:rsidRPr="005F01CB" w:rsidRDefault="00055416" w:rsidP="008A6DCE">
      <w:pPr>
        <w:pStyle w:val="NormalWeb"/>
        <w:numPr>
          <w:ilvl w:val="0"/>
          <w:numId w:val="1"/>
        </w:numPr>
        <w:rPr>
          <w:rFonts w:asciiTheme="minorHAnsi" w:hAnsiTheme="minorHAnsi"/>
        </w:rPr>
      </w:pPr>
      <w:r w:rsidRPr="005F01CB">
        <w:rPr>
          <w:rFonts w:asciiTheme="minorHAnsi" w:hAnsiTheme="minorHAnsi"/>
        </w:rPr>
        <w:t xml:space="preserve">The Declaration of Independence </w:t>
      </w:r>
    </w:p>
    <w:p w:rsidR="008A6DCE" w:rsidRPr="005F01CB" w:rsidRDefault="00055416" w:rsidP="008A6DCE">
      <w:pPr>
        <w:pStyle w:val="NormalWeb"/>
        <w:numPr>
          <w:ilvl w:val="0"/>
          <w:numId w:val="1"/>
        </w:numPr>
        <w:rPr>
          <w:rFonts w:asciiTheme="minorHAnsi" w:hAnsiTheme="minorHAnsi"/>
        </w:rPr>
      </w:pPr>
      <w:r w:rsidRPr="005F01CB">
        <w:rPr>
          <w:rFonts w:asciiTheme="minorHAnsi" w:hAnsiTheme="minorHAnsi"/>
        </w:rPr>
        <w:t>The Articles of Confederation</w:t>
      </w:r>
    </w:p>
    <w:p w:rsidR="008A6DCE" w:rsidRPr="005F01CB" w:rsidRDefault="00055416" w:rsidP="008A6DCE">
      <w:pPr>
        <w:pStyle w:val="NormalWeb"/>
        <w:numPr>
          <w:ilvl w:val="0"/>
          <w:numId w:val="1"/>
        </w:numPr>
        <w:rPr>
          <w:rFonts w:asciiTheme="minorHAnsi" w:hAnsiTheme="minorHAnsi"/>
        </w:rPr>
      </w:pPr>
      <w:r w:rsidRPr="005F01CB">
        <w:rPr>
          <w:rFonts w:asciiTheme="minorHAnsi" w:hAnsiTheme="minorHAnsi"/>
        </w:rPr>
        <w:t>Federalist No. 10</w:t>
      </w:r>
    </w:p>
    <w:p w:rsidR="00055416" w:rsidRPr="005F01CB" w:rsidRDefault="00055416" w:rsidP="008A6DCE">
      <w:pPr>
        <w:pStyle w:val="NormalWeb"/>
        <w:numPr>
          <w:ilvl w:val="0"/>
          <w:numId w:val="1"/>
        </w:numPr>
        <w:rPr>
          <w:rFonts w:asciiTheme="minorHAnsi" w:hAnsiTheme="minorHAnsi"/>
        </w:rPr>
      </w:pPr>
      <w:r w:rsidRPr="005F01CB">
        <w:rPr>
          <w:rFonts w:asciiTheme="minorHAnsi" w:hAnsiTheme="minorHAnsi"/>
        </w:rPr>
        <w:t xml:space="preserve">Brutus No. 1 </w:t>
      </w:r>
    </w:p>
    <w:p w:rsidR="008A6DCE" w:rsidRPr="005F01CB" w:rsidRDefault="00055416" w:rsidP="008A6DCE">
      <w:pPr>
        <w:pStyle w:val="NormalWeb"/>
        <w:numPr>
          <w:ilvl w:val="0"/>
          <w:numId w:val="1"/>
        </w:numPr>
        <w:rPr>
          <w:rFonts w:asciiTheme="minorHAnsi" w:hAnsiTheme="minorHAnsi"/>
        </w:rPr>
      </w:pPr>
      <w:r w:rsidRPr="005F01CB">
        <w:rPr>
          <w:rFonts w:asciiTheme="minorHAnsi" w:hAnsiTheme="minorHAnsi"/>
        </w:rPr>
        <w:t>Federalist No. 51</w:t>
      </w:r>
    </w:p>
    <w:p w:rsidR="00055416" w:rsidRPr="005F01CB" w:rsidRDefault="00055416" w:rsidP="008A6DCE">
      <w:pPr>
        <w:pStyle w:val="NormalWeb"/>
        <w:numPr>
          <w:ilvl w:val="0"/>
          <w:numId w:val="1"/>
        </w:numPr>
        <w:rPr>
          <w:rFonts w:asciiTheme="minorHAnsi" w:hAnsiTheme="minorHAnsi"/>
        </w:rPr>
      </w:pPr>
      <w:r w:rsidRPr="005F01CB">
        <w:rPr>
          <w:rFonts w:asciiTheme="minorHAnsi" w:hAnsiTheme="minorHAnsi"/>
        </w:rPr>
        <w:t>The Constitution of the United States</w:t>
      </w:r>
    </w:p>
    <w:p w:rsidR="005F01CB" w:rsidRDefault="00055416" w:rsidP="008A6DCE">
      <w:pPr>
        <w:pStyle w:val="NormalWeb"/>
        <w:numPr>
          <w:ilvl w:val="0"/>
          <w:numId w:val="1"/>
        </w:numPr>
        <w:rPr>
          <w:rFonts w:asciiTheme="minorHAnsi" w:hAnsiTheme="minorHAnsi"/>
        </w:rPr>
      </w:pPr>
      <w:r w:rsidRPr="005F01CB">
        <w:rPr>
          <w:rFonts w:asciiTheme="minorHAnsi" w:hAnsiTheme="minorHAnsi"/>
        </w:rPr>
        <w:t>Federalist No. 70</w:t>
      </w:r>
    </w:p>
    <w:p w:rsidR="008A6DCE" w:rsidRPr="005F01CB" w:rsidRDefault="00055416" w:rsidP="008A6DCE">
      <w:pPr>
        <w:pStyle w:val="NormalWeb"/>
        <w:numPr>
          <w:ilvl w:val="0"/>
          <w:numId w:val="1"/>
        </w:numPr>
        <w:rPr>
          <w:rFonts w:asciiTheme="minorHAnsi" w:hAnsiTheme="minorHAnsi"/>
        </w:rPr>
      </w:pPr>
      <w:r w:rsidRPr="005F01CB">
        <w:rPr>
          <w:rFonts w:asciiTheme="minorHAnsi" w:hAnsiTheme="minorHAnsi"/>
        </w:rPr>
        <w:t>Federalist No. 78</w:t>
      </w:r>
    </w:p>
    <w:p w:rsidR="00055416" w:rsidRPr="005F01CB" w:rsidRDefault="00055416" w:rsidP="008A6DCE">
      <w:pPr>
        <w:pStyle w:val="NormalWeb"/>
        <w:numPr>
          <w:ilvl w:val="0"/>
          <w:numId w:val="1"/>
        </w:numPr>
        <w:rPr>
          <w:rFonts w:asciiTheme="minorHAnsi" w:hAnsiTheme="minorHAnsi"/>
        </w:rPr>
      </w:pPr>
      <w:r w:rsidRPr="005F01CB">
        <w:rPr>
          <w:rFonts w:asciiTheme="minorHAnsi" w:hAnsiTheme="minorHAnsi"/>
        </w:rPr>
        <w:t xml:space="preserve">Letter from a Birmingham Jail </w:t>
      </w:r>
    </w:p>
    <w:p w:rsidR="00D31EFD" w:rsidRPr="005F01CB" w:rsidRDefault="00D31EFD" w:rsidP="00F77175">
      <w:pPr>
        <w:spacing w:before="100" w:beforeAutospacing="1" w:after="100" w:afterAutospacing="1"/>
        <w:rPr>
          <w:rFonts w:eastAsia="Times New Roman" w:cs="Times New Roman"/>
        </w:rPr>
      </w:pPr>
    </w:p>
    <w:p w:rsidR="00F77175" w:rsidRPr="005F01CB" w:rsidRDefault="00F77175" w:rsidP="00F77175">
      <w:pPr>
        <w:spacing w:before="100" w:beforeAutospacing="1" w:after="100" w:afterAutospacing="1"/>
        <w:rPr>
          <w:rFonts w:eastAsia="Times New Roman" w:cs="Times New Roman"/>
          <w:b/>
          <w:bCs/>
        </w:rPr>
      </w:pPr>
      <w:r w:rsidRPr="00055416">
        <w:rPr>
          <w:rFonts w:eastAsia="Times New Roman" w:cs="Times New Roman"/>
        </w:rPr>
        <w:t>Required Supreme Court Cases</w:t>
      </w:r>
      <w:r w:rsidR="007D60F2" w:rsidRPr="005F01CB">
        <w:rPr>
          <w:rFonts w:eastAsia="Times New Roman" w:cs="Times New Roman"/>
        </w:rPr>
        <w:t>:</w:t>
      </w:r>
      <w:r w:rsidRPr="00055416">
        <w:rPr>
          <w:rFonts w:eastAsia="Times New Roman" w:cs="Times New Roman"/>
          <w:b/>
          <w:bCs/>
        </w:rPr>
        <w:t xml:space="preserve"> </w:t>
      </w:r>
    </w:p>
    <w:p w:rsidR="004D0359" w:rsidRPr="005F01CB" w:rsidRDefault="004D0359" w:rsidP="004D0359">
      <w:pPr>
        <w:pStyle w:val="NormalWeb"/>
        <w:rPr>
          <w:rFonts w:asciiTheme="minorHAnsi" w:hAnsiTheme="minorHAnsi"/>
        </w:rPr>
      </w:pPr>
      <w:r w:rsidRPr="005F01CB">
        <w:rPr>
          <w:rFonts w:asciiTheme="minorHAnsi" w:hAnsiTheme="minorHAnsi"/>
          <w:color w:val="4C4C4C"/>
        </w:rPr>
        <w:t>Federalism re</w:t>
      </w:r>
      <w:r w:rsidRPr="005F01CB">
        <w:rPr>
          <w:rFonts w:asciiTheme="minorHAnsi" w:hAnsiTheme="minorHAnsi"/>
          <w:color w:val="4C4C4C"/>
        </w:rPr>
        <w:t>fl</w:t>
      </w:r>
      <w:r w:rsidRPr="005F01CB">
        <w:rPr>
          <w:rFonts w:asciiTheme="minorHAnsi" w:hAnsiTheme="minorHAnsi"/>
          <w:color w:val="4C4C4C"/>
        </w:rPr>
        <w:t xml:space="preserve">ects the dynamic distribution of power between national and state governments. </w:t>
      </w:r>
    </w:p>
    <w:p w:rsidR="00055416" w:rsidRPr="00055416" w:rsidRDefault="00055416" w:rsidP="008A6DCE">
      <w:pPr>
        <w:spacing w:before="100" w:beforeAutospacing="1" w:after="100" w:afterAutospacing="1"/>
        <w:rPr>
          <w:rFonts w:eastAsia="Times New Roman" w:cs="Times New Roman"/>
        </w:rPr>
      </w:pPr>
      <w:r w:rsidRPr="00055416">
        <w:rPr>
          <w:rFonts w:eastAsia="Times New Roman" w:cs="Times New Roman"/>
          <w:i/>
          <w:iCs/>
        </w:rPr>
        <w:t xml:space="preserve">McCulloch v. Maryland (1819) </w:t>
      </w:r>
      <w:r w:rsidR="008F708C" w:rsidRPr="005F01CB">
        <w:rPr>
          <w:rFonts w:eastAsia="Times New Roman" w:cs="Times New Roman"/>
        </w:rPr>
        <w:t xml:space="preserve">- </w:t>
      </w:r>
      <w:r w:rsidRPr="00055416">
        <w:rPr>
          <w:rFonts w:eastAsia="Times New Roman" w:cs="Times New Roman"/>
        </w:rPr>
        <w:t xml:space="preserve">Established supremacy of the U.S. Constitution and federal laws over state laws </w:t>
      </w:r>
    </w:p>
    <w:p w:rsidR="00055416" w:rsidRPr="00055416" w:rsidRDefault="00055416" w:rsidP="008A6DCE">
      <w:pPr>
        <w:spacing w:before="100" w:beforeAutospacing="1" w:after="100" w:afterAutospacing="1"/>
        <w:rPr>
          <w:rFonts w:eastAsia="Times New Roman" w:cs="Times New Roman"/>
        </w:rPr>
      </w:pPr>
      <w:r w:rsidRPr="00055416">
        <w:rPr>
          <w:rFonts w:eastAsia="Times New Roman" w:cs="Times New Roman"/>
          <w:i/>
          <w:iCs/>
        </w:rPr>
        <w:t>United States v. Lopez (1995</w:t>
      </w:r>
      <w:r w:rsidR="008F708C" w:rsidRPr="005F01CB">
        <w:rPr>
          <w:rFonts w:eastAsia="Times New Roman" w:cs="Times New Roman"/>
          <w:i/>
          <w:iCs/>
        </w:rPr>
        <w:t xml:space="preserve">) - </w:t>
      </w:r>
      <w:r w:rsidRPr="00055416">
        <w:rPr>
          <w:rFonts w:eastAsia="Times New Roman" w:cs="Times New Roman"/>
        </w:rPr>
        <w:t xml:space="preserve">Congress may not use the commerce clause to make possession of a gun in a school zone a federal crime </w:t>
      </w:r>
    </w:p>
    <w:p w:rsidR="007D60F2" w:rsidRPr="005F01CB" w:rsidRDefault="007D60F2" w:rsidP="008A6DCE">
      <w:pPr>
        <w:spacing w:before="100" w:beforeAutospacing="1" w:after="100" w:afterAutospacing="1"/>
        <w:rPr>
          <w:rFonts w:eastAsia="Times New Roman" w:cs="Times New Roman"/>
          <w:color w:val="4C4C4C"/>
        </w:rPr>
      </w:pPr>
    </w:p>
    <w:p w:rsidR="00055416" w:rsidRPr="00055416" w:rsidRDefault="00055416" w:rsidP="008A6DCE">
      <w:pPr>
        <w:spacing w:before="100" w:beforeAutospacing="1" w:after="100" w:afterAutospacing="1"/>
        <w:rPr>
          <w:rFonts w:eastAsia="Times New Roman" w:cs="Times New Roman"/>
        </w:rPr>
      </w:pPr>
      <w:r w:rsidRPr="00055416">
        <w:rPr>
          <w:rFonts w:eastAsia="Times New Roman" w:cs="Times New Roman"/>
          <w:color w:val="4C4C4C"/>
        </w:rPr>
        <w:t xml:space="preserve">Provisions of the U.S. Constitution’s Bill of Rights are continually being interpreted to balance the power of government and the civil liberties of individuals. </w:t>
      </w:r>
    </w:p>
    <w:p w:rsidR="00055416" w:rsidRPr="00055416" w:rsidRDefault="00055416" w:rsidP="008A6DCE">
      <w:pPr>
        <w:spacing w:before="100" w:beforeAutospacing="1" w:after="100" w:afterAutospacing="1"/>
        <w:rPr>
          <w:rFonts w:eastAsia="Times New Roman" w:cs="Times New Roman"/>
        </w:rPr>
      </w:pPr>
      <w:r w:rsidRPr="00055416">
        <w:rPr>
          <w:rFonts w:eastAsia="Times New Roman" w:cs="Times New Roman"/>
          <w:i/>
          <w:iCs/>
        </w:rPr>
        <w:t xml:space="preserve">Engel v. Vitale (1962) </w:t>
      </w:r>
      <w:r w:rsidR="001562D2" w:rsidRPr="005F01CB">
        <w:rPr>
          <w:rFonts w:eastAsia="Times New Roman" w:cs="Times New Roman"/>
        </w:rPr>
        <w:t xml:space="preserve">- </w:t>
      </w:r>
      <w:r w:rsidRPr="00055416">
        <w:rPr>
          <w:rFonts w:eastAsia="Times New Roman" w:cs="Times New Roman"/>
        </w:rPr>
        <w:t xml:space="preserve">School sponsorship of religious activities violates the establishment clause </w:t>
      </w:r>
    </w:p>
    <w:p w:rsidR="00055416" w:rsidRPr="00055416" w:rsidRDefault="00055416" w:rsidP="008A6DCE">
      <w:pPr>
        <w:spacing w:before="100" w:beforeAutospacing="1" w:after="100" w:afterAutospacing="1"/>
        <w:rPr>
          <w:rFonts w:eastAsia="Times New Roman" w:cs="Times New Roman"/>
        </w:rPr>
      </w:pPr>
      <w:r w:rsidRPr="00055416">
        <w:rPr>
          <w:rFonts w:eastAsia="Times New Roman" w:cs="Times New Roman"/>
          <w:i/>
          <w:iCs/>
        </w:rPr>
        <w:t xml:space="preserve">Wisconsin v. Yoder (1972) </w:t>
      </w:r>
      <w:r w:rsidR="005979A9" w:rsidRPr="005F01CB">
        <w:rPr>
          <w:rFonts w:eastAsia="Times New Roman" w:cs="Times New Roman"/>
        </w:rPr>
        <w:t xml:space="preserve">- </w:t>
      </w:r>
      <w:r w:rsidRPr="00055416">
        <w:rPr>
          <w:rFonts w:eastAsia="Times New Roman" w:cs="Times New Roman"/>
        </w:rPr>
        <w:t xml:space="preserve">Compelling Amish students to attend school past the eighth grade violates the free exercise clause </w:t>
      </w:r>
    </w:p>
    <w:p w:rsidR="00055416" w:rsidRPr="00055416" w:rsidRDefault="00055416" w:rsidP="008A6DCE">
      <w:pPr>
        <w:spacing w:before="100" w:beforeAutospacing="1" w:after="100" w:afterAutospacing="1"/>
        <w:rPr>
          <w:rFonts w:eastAsia="Times New Roman" w:cs="Times New Roman"/>
        </w:rPr>
      </w:pPr>
      <w:r w:rsidRPr="00055416">
        <w:rPr>
          <w:rFonts w:eastAsia="Times New Roman" w:cs="Times New Roman"/>
          <w:i/>
          <w:iCs/>
        </w:rPr>
        <w:t xml:space="preserve">Tinker v. Des Moines Independent Community School District (1969) </w:t>
      </w:r>
      <w:r w:rsidR="007D60F2" w:rsidRPr="005F01CB">
        <w:rPr>
          <w:rFonts w:eastAsia="Times New Roman" w:cs="Times New Roman"/>
        </w:rPr>
        <w:t xml:space="preserve">- </w:t>
      </w:r>
      <w:r w:rsidRPr="00055416">
        <w:rPr>
          <w:rFonts w:eastAsia="Times New Roman" w:cs="Times New Roman"/>
        </w:rPr>
        <w:t xml:space="preserve">Public school students have the right to wear black armbands in school to protest the Vietnam War </w:t>
      </w:r>
    </w:p>
    <w:p w:rsidR="00055416" w:rsidRPr="00055416" w:rsidRDefault="00055416" w:rsidP="008A6DCE">
      <w:pPr>
        <w:spacing w:before="100" w:beforeAutospacing="1" w:after="100" w:afterAutospacing="1"/>
        <w:rPr>
          <w:rFonts w:eastAsia="Times New Roman" w:cs="Times New Roman"/>
        </w:rPr>
      </w:pPr>
      <w:r w:rsidRPr="00055416">
        <w:rPr>
          <w:rFonts w:eastAsia="Times New Roman" w:cs="Times New Roman"/>
          <w:i/>
          <w:iCs/>
        </w:rPr>
        <w:t xml:space="preserve">New York Times Co. v. United States (1971) </w:t>
      </w:r>
      <w:r w:rsidR="007D60F2" w:rsidRPr="005F01CB">
        <w:rPr>
          <w:rFonts w:eastAsia="Times New Roman" w:cs="Times New Roman"/>
        </w:rPr>
        <w:t xml:space="preserve">- </w:t>
      </w:r>
      <w:r w:rsidRPr="00055416">
        <w:rPr>
          <w:rFonts w:eastAsia="Times New Roman" w:cs="Times New Roman"/>
        </w:rPr>
        <w:t xml:space="preserve">Bolstered the freedom of the press, establishing a “heavy presumption against prior restraint” even in cases involving national security </w:t>
      </w:r>
    </w:p>
    <w:p w:rsidR="00055416" w:rsidRPr="00055416" w:rsidRDefault="00055416" w:rsidP="00F77175">
      <w:pPr>
        <w:spacing w:before="100" w:beforeAutospacing="1" w:after="100" w:afterAutospacing="1"/>
        <w:rPr>
          <w:rFonts w:eastAsia="Times New Roman" w:cs="Times New Roman"/>
        </w:rPr>
      </w:pPr>
      <w:proofErr w:type="spellStart"/>
      <w:r w:rsidRPr="00055416">
        <w:rPr>
          <w:rFonts w:eastAsia="Times New Roman" w:cs="Times New Roman"/>
          <w:i/>
          <w:iCs/>
        </w:rPr>
        <w:t>Schenck</w:t>
      </w:r>
      <w:proofErr w:type="spellEnd"/>
      <w:r w:rsidRPr="00055416">
        <w:rPr>
          <w:rFonts w:eastAsia="Times New Roman" w:cs="Times New Roman"/>
          <w:i/>
          <w:iCs/>
        </w:rPr>
        <w:t xml:space="preserve"> v. United States (1919) </w:t>
      </w:r>
      <w:r w:rsidR="007D60F2" w:rsidRPr="005F01CB">
        <w:rPr>
          <w:rFonts w:eastAsia="Times New Roman" w:cs="Times New Roman"/>
        </w:rPr>
        <w:t xml:space="preserve">- </w:t>
      </w:r>
      <w:r w:rsidRPr="00055416">
        <w:rPr>
          <w:rFonts w:eastAsia="Times New Roman" w:cs="Times New Roman"/>
        </w:rPr>
        <w:t>Speech creating a “clear and present danger” is not protected by the First Amendment</w:t>
      </w:r>
    </w:p>
    <w:p w:rsidR="007D60F2" w:rsidRPr="005F01CB" w:rsidRDefault="007D60F2" w:rsidP="008A6DCE">
      <w:pPr>
        <w:spacing w:before="100" w:beforeAutospacing="1" w:after="100" w:afterAutospacing="1"/>
        <w:rPr>
          <w:rFonts w:eastAsia="Times New Roman" w:cs="Times New Roman"/>
          <w:color w:val="4C4C4C"/>
        </w:rPr>
      </w:pPr>
    </w:p>
    <w:p w:rsidR="00055416" w:rsidRPr="00055416" w:rsidRDefault="00055416" w:rsidP="008A6DCE">
      <w:pPr>
        <w:spacing w:before="100" w:beforeAutospacing="1" w:after="100" w:afterAutospacing="1"/>
        <w:rPr>
          <w:rFonts w:eastAsia="Times New Roman" w:cs="Times New Roman"/>
        </w:rPr>
      </w:pPr>
      <w:r w:rsidRPr="00055416">
        <w:rPr>
          <w:rFonts w:eastAsia="Times New Roman" w:cs="Times New Roman"/>
          <w:color w:val="4C4C4C"/>
        </w:rPr>
        <w:t xml:space="preserve">Protections of the Bill of Rights have been selectively incorporated by way of the Fourteenth Amendment’s due process clause to prevent state infringement of basic liberties. </w:t>
      </w:r>
    </w:p>
    <w:p w:rsidR="00055416" w:rsidRPr="00055416" w:rsidRDefault="00055416" w:rsidP="008A6DCE">
      <w:pPr>
        <w:spacing w:before="100" w:beforeAutospacing="1" w:after="100" w:afterAutospacing="1"/>
        <w:rPr>
          <w:rFonts w:eastAsia="Times New Roman" w:cs="Times New Roman"/>
        </w:rPr>
      </w:pPr>
      <w:r w:rsidRPr="00055416">
        <w:rPr>
          <w:rFonts w:eastAsia="Times New Roman" w:cs="Times New Roman"/>
          <w:i/>
          <w:iCs/>
        </w:rPr>
        <w:t xml:space="preserve">Gideon v. Wainwright (1963) </w:t>
      </w:r>
      <w:r w:rsidR="001F0C97" w:rsidRPr="005F01CB">
        <w:rPr>
          <w:rFonts w:eastAsia="Times New Roman" w:cs="Times New Roman"/>
        </w:rPr>
        <w:t xml:space="preserve">- </w:t>
      </w:r>
      <w:r w:rsidRPr="00055416">
        <w:rPr>
          <w:rFonts w:eastAsia="Times New Roman" w:cs="Times New Roman"/>
        </w:rPr>
        <w:t xml:space="preserve">Guaranteed the right to an attorney for the poor or indigent in a state felony case </w:t>
      </w:r>
    </w:p>
    <w:p w:rsidR="00055416" w:rsidRPr="00055416" w:rsidRDefault="00055416" w:rsidP="008A6DCE">
      <w:pPr>
        <w:spacing w:before="100" w:beforeAutospacing="1" w:after="100" w:afterAutospacing="1"/>
        <w:rPr>
          <w:rFonts w:eastAsia="Times New Roman" w:cs="Times New Roman"/>
        </w:rPr>
      </w:pPr>
      <w:r w:rsidRPr="00055416">
        <w:rPr>
          <w:rFonts w:eastAsia="Times New Roman" w:cs="Times New Roman"/>
          <w:i/>
          <w:iCs/>
        </w:rPr>
        <w:t xml:space="preserve">Roe v. Wade (1973) </w:t>
      </w:r>
      <w:r w:rsidR="001F0C97" w:rsidRPr="005F01CB">
        <w:rPr>
          <w:rFonts w:eastAsia="Times New Roman" w:cs="Times New Roman"/>
        </w:rPr>
        <w:t xml:space="preserve">- </w:t>
      </w:r>
      <w:r w:rsidRPr="00055416">
        <w:rPr>
          <w:rFonts w:eastAsia="Times New Roman" w:cs="Times New Roman"/>
        </w:rPr>
        <w:t xml:space="preserve">Extended the right of privacy to a woman’s decision to have an abortion </w:t>
      </w:r>
    </w:p>
    <w:p w:rsidR="00055416" w:rsidRPr="00055416" w:rsidRDefault="00055416" w:rsidP="008A6DCE">
      <w:pPr>
        <w:spacing w:before="100" w:beforeAutospacing="1" w:after="100" w:afterAutospacing="1"/>
        <w:rPr>
          <w:rFonts w:eastAsia="Times New Roman" w:cs="Times New Roman"/>
        </w:rPr>
      </w:pPr>
      <w:r w:rsidRPr="00055416">
        <w:rPr>
          <w:rFonts w:eastAsia="Times New Roman" w:cs="Times New Roman"/>
          <w:i/>
          <w:iCs/>
        </w:rPr>
        <w:t xml:space="preserve">McDonald v. Chicago (2010) </w:t>
      </w:r>
      <w:r w:rsidR="001F0C97" w:rsidRPr="005F01CB">
        <w:rPr>
          <w:rFonts w:eastAsia="Times New Roman" w:cs="Times New Roman"/>
        </w:rPr>
        <w:t xml:space="preserve">- </w:t>
      </w:r>
      <w:r w:rsidRPr="00055416">
        <w:rPr>
          <w:rFonts w:eastAsia="Times New Roman" w:cs="Times New Roman"/>
        </w:rPr>
        <w:t xml:space="preserve">The Second Amendment right to keep and bear arms for self-defense is applicable to the states </w:t>
      </w:r>
    </w:p>
    <w:p w:rsidR="001F0C97" w:rsidRPr="005F01CB" w:rsidRDefault="001F0C97" w:rsidP="008A6DCE">
      <w:pPr>
        <w:spacing w:before="100" w:beforeAutospacing="1" w:after="100" w:afterAutospacing="1"/>
        <w:rPr>
          <w:rFonts w:eastAsia="Times New Roman" w:cs="Times New Roman"/>
          <w:color w:val="4C4C4C"/>
        </w:rPr>
      </w:pPr>
    </w:p>
    <w:p w:rsidR="00055416" w:rsidRPr="00055416" w:rsidRDefault="00055416" w:rsidP="008A6DCE">
      <w:pPr>
        <w:spacing w:before="100" w:beforeAutospacing="1" w:after="100" w:afterAutospacing="1"/>
        <w:rPr>
          <w:rFonts w:eastAsia="Times New Roman" w:cs="Times New Roman"/>
        </w:rPr>
      </w:pPr>
      <w:r w:rsidRPr="00055416">
        <w:rPr>
          <w:rFonts w:eastAsia="Times New Roman" w:cs="Times New Roman"/>
          <w:color w:val="4C4C4C"/>
        </w:rPr>
        <w:t xml:space="preserve">The 14th Amendment’s equal protection clause as well as other constitutional provisions have often been used to support the advancement of equality. </w:t>
      </w:r>
    </w:p>
    <w:p w:rsidR="00055416" w:rsidRPr="00055416" w:rsidRDefault="00055416" w:rsidP="008A6DCE">
      <w:pPr>
        <w:spacing w:before="100" w:beforeAutospacing="1" w:after="100" w:afterAutospacing="1"/>
        <w:rPr>
          <w:rFonts w:eastAsia="Times New Roman" w:cs="Times New Roman"/>
        </w:rPr>
      </w:pPr>
      <w:r w:rsidRPr="00055416">
        <w:rPr>
          <w:rFonts w:eastAsia="Times New Roman" w:cs="Times New Roman"/>
          <w:i/>
          <w:iCs/>
        </w:rPr>
        <w:t xml:space="preserve">Brown v. Board of Education (1954) </w:t>
      </w:r>
      <w:r w:rsidR="001F0C97" w:rsidRPr="005F01CB">
        <w:rPr>
          <w:rFonts w:eastAsia="Times New Roman" w:cs="Times New Roman"/>
        </w:rPr>
        <w:t xml:space="preserve">- </w:t>
      </w:r>
      <w:r w:rsidRPr="00055416">
        <w:rPr>
          <w:rFonts w:eastAsia="Times New Roman" w:cs="Times New Roman"/>
        </w:rPr>
        <w:t xml:space="preserve">Race-based school segregation violates the equal protection clause </w:t>
      </w:r>
    </w:p>
    <w:p w:rsidR="005979A9" w:rsidRPr="005F01CB" w:rsidRDefault="005979A9" w:rsidP="008A6DCE">
      <w:pPr>
        <w:spacing w:before="100" w:beforeAutospacing="1" w:after="100" w:afterAutospacing="1"/>
        <w:rPr>
          <w:rFonts w:eastAsia="Times New Roman" w:cs="Times New Roman"/>
          <w:color w:val="4C4C4C"/>
        </w:rPr>
      </w:pPr>
    </w:p>
    <w:p w:rsidR="00055416" w:rsidRPr="00055416" w:rsidRDefault="00055416" w:rsidP="008A6DCE">
      <w:pPr>
        <w:spacing w:before="100" w:beforeAutospacing="1" w:after="100" w:afterAutospacing="1"/>
        <w:rPr>
          <w:rFonts w:eastAsia="Times New Roman" w:cs="Times New Roman"/>
        </w:rPr>
      </w:pPr>
      <w:r w:rsidRPr="00055416">
        <w:rPr>
          <w:rFonts w:eastAsia="Times New Roman" w:cs="Times New Roman"/>
          <w:color w:val="4C4C4C"/>
        </w:rPr>
        <w:t>The impact of federal policies on campaigning and electoral rules continues to be contested</w:t>
      </w:r>
      <w:r w:rsidRPr="00055416">
        <w:rPr>
          <w:rFonts w:eastAsia="Times New Roman" w:cs="Times New Roman"/>
          <w:color w:val="4C4C4C"/>
        </w:rPr>
        <w:br/>
        <w:t xml:space="preserve">by both sides of the political spectrum. </w:t>
      </w:r>
    </w:p>
    <w:p w:rsidR="00055416" w:rsidRPr="00055416" w:rsidRDefault="00055416" w:rsidP="008A6DCE">
      <w:pPr>
        <w:spacing w:before="100" w:beforeAutospacing="1" w:after="100" w:afterAutospacing="1"/>
        <w:rPr>
          <w:rFonts w:eastAsia="Times New Roman" w:cs="Times New Roman"/>
        </w:rPr>
      </w:pPr>
      <w:r w:rsidRPr="00055416">
        <w:rPr>
          <w:rFonts w:eastAsia="Times New Roman" w:cs="Times New Roman"/>
          <w:i/>
          <w:iCs/>
        </w:rPr>
        <w:t xml:space="preserve">Citizens United v. Federal Election Commission (2010) </w:t>
      </w:r>
      <w:r w:rsidR="001F0C97" w:rsidRPr="005F01CB">
        <w:rPr>
          <w:rFonts w:eastAsia="Times New Roman" w:cs="Times New Roman"/>
        </w:rPr>
        <w:t xml:space="preserve">- </w:t>
      </w:r>
      <w:r w:rsidRPr="00055416">
        <w:rPr>
          <w:rFonts w:eastAsia="Times New Roman" w:cs="Times New Roman"/>
        </w:rPr>
        <w:t xml:space="preserve">Political spending by corporations, associations, and labor unions is a form of protected speech under the First Amendment </w:t>
      </w:r>
    </w:p>
    <w:p w:rsidR="001F0C97" w:rsidRPr="005F01CB" w:rsidRDefault="001F0C97" w:rsidP="008A6DCE">
      <w:pPr>
        <w:spacing w:before="100" w:beforeAutospacing="1" w:after="100" w:afterAutospacing="1"/>
        <w:rPr>
          <w:rFonts w:eastAsia="Times New Roman" w:cs="Times New Roman"/>
          <w:color w:val="4C4C4C"/>
        </w:rPr>
      </w:pPr>
    </w:p>
    <w:p w:rsidR="00055416" w:rsidRPr="00055416" w:rsidRDefault="00055416" w:rsidP="008A6DCE">
      <w:pPr>
        <w:spacing w:before="100" w:beforeAutospacing="1" w:after="100" w:afterAutospacing="1"/>
        <w:rPr>
          <w:rFonts w:eastAsia="Times New Roman" w:cs="Times New Roman"/>
        </w:rPr>
      </w:pPr>
      <w:r w:rsidRPr="00055416">
        <w:rPr>
          <w:rFonts w:eastAsia="Times New Roman" w:cs="Times New Roman"/>
          <w:color w:val="4C4C4C"/>
        </w:rPr>
        <w:t xml:space="preserve">The republican ideal in the U.S. is manifested in the structure and operation of the legislative branch. </w:t>
      </w:r>
    </w:p>
    <w:p w:rsidR="00055416" w:rsidRPr="00055416" w:rsidRDefault="00055416" w:rsidP="008A6DCE">
      <w:pPr>
        <w:spacing w:before="100" w:beforeAutospacing="1" w:after="100" w:afterAutospacing="1"/>
        <w:rPr>
          <w:rFonts w:eastAsia="Times New Roman" w:cs="Times New Roman"/>
        </w:rPr>
      </w:pPr>
      <w:r w:rsidRPr="00055416">
        <w:rPr>
          <w:rFonts w:eastAsia="Times New Roman" w:cs="Times New Roman"/>
          <w:i/>
          <w:iCs/>
        </w:rPr>
        <w:t xml:space="preserve">Baker v. </w:t>
      </w:r>
      <w:proofErr w:type="spellStart"/>
      <w:r w:rsidRPr="00055416">
        <w:rPr>
          <w:rFonts w:eastAsia="Times New Roman" w:cs="Times New Roman"/>
          <w:i/>
          <w:iCs/>
        </w:rPr>
        <w:t>Carr</w:t>
      </w:r>
      <w:proofErr w:type="spellEnd"/>
      <w:r w:rsidRPr="00055416">
        <w:rPr>
          <w:rFonts w:eastAsia="Times New Roman" w:cs="Times New Roman"/>
          <w:i/>
          <w:iCs/>
        </w:rPr>
        <w:t xml:space="preserve"> (1961) </w:t>
      </w:r>
      <w:r w:rsidR="001F0C97" w:rsidRPr="005F01CB">
        <w:rPr>
          <w:rFonts w:eastAsia="Times New Roman" w:cs="Times New Roman"/>
        </w:rPr>
        <w:t xml:space="preserve">- </w:t>
      </w:r>
      <w:r w:rsidRPr="00055416">
        <w:rPr>
          <w:rFonts w:eastAsia="Times New Roman" w:cs="Times New Roman"/>
        </w:rPr>
        <w:t xml:space="preserve">Opened the door to equal protection challenges to redistricting and the development of the “one person, one vote” doctrine by ruling that challenges to redistricting did not raise “political questions” that would keep federal courts from reviewing such challenges </w:t>
      </w:r>
    </w:p>
    <w:p w:rsidR="00055416" w:rsidRPr="00055416" w:rsidRDefault="00055416" w:rsidP="008A6DCE">
      <w:pPr>
        <w:spacing w:before="100" w:beforeAutospacing="1" w:after="100" w:afterAutospacing="1"/>
        <w:rPr>
          <w:rFonts w:eastAsia="Times New Roman" w:cs="Times New Roman"/>
        </w:rPr>
      </w:pPr>
      <w:r w:rsidRPr="00055416">
        <w:rPr>
          <w:rFonts w:eastAsia="Times New Roman" w:cs="Times New Roman"/>
          <w:i/>
          <w:iCs/>
        </w:rPr>
        <w:t xml:space="preserve">Shaw v. Reno (1993) </w:t>
      </w:r>
      <w:r w:rsidR="001F0C97" w:rsidRPr="005F01CB">
        <w:rPr>
          <w:rFonts w:eastAsia="Times New Roman" w:cs="Times New Roman"/>
        </w:rPr>
        <w:t xml:space="preserve">- </w:t>
      </w:r>
      <w:r w:rsidRPr="00055416">
        <w:rPr>
          <w:rFonts w:eastAsia="Times New Roman" w:cs="Times New Roman"/>
        </w:rPr>
        <w:t xml:space="preserve">Majority minority districts, created under the Voting Rights Act of 1965, may be constitutionally challenged by voters if race is the only factor used in creating the district </w:t>
      </w:r>
    </w:p>
    <w:p w:rsidR="001F0C97" w:rsidRPr="005F01CB" w:rsidRDefault="001F0C97" w:rsidP="008A6DCE">
      <w:pPr>
        <w:spacing w:before="100" w:beforeAutospacing="1" w:after="100" w:afterAutospacing="1"/>
        <w:rPr>
          <w:rFonts w:eastAsia="Times New Roman" w:cs="Times New Roman"/>
          <w:color w:val="4C4C4C"/>
        </w:rPr>
      </w:pPr>
    </w:p>
    <w:p w:rsidR="00055416" w:rsidRPr="00055416" w:rsidRDefault="00055416" w:rsidP="008A6DCE">
      <w:pPr>
        <w:spacing w:before="100" w:beforeAutospacing="1" w:after="100" w:afterAutospacing="1"/>
        <w:rPr>
          <w:rFonts w:eastAsia="Times New Roman" w:cs="Times New Roman"/>
        </w:rPr>
      </w:pPr>
      <w:r w:rsidRPr="00055416">
        <w:rPr>
          <w:rFonts w:eastAsia="Times New Roman" w:cs="Times New Roman"/>
          <w:color w:val="4C4C4C"/>
        </w:rPr>
        <w:t xml:space="preserve">The design of the judicial branch protects the Supreme Court’s independence as a branch of government, and the emergence and use of judicial review remains a powerful judicial practice. </w:t>
      </w:r>
    </w:p>
    <w:p w:rsidR="00055416" w:rsidRPr="00055416" w:rsidRDefault="00055416" w:rsidP="008A6DCE">
      <w:pPr>
        <w:spacing w:before="100" w:beforeAutospacing="1" w:after="100" w:afterAutospacing="1"/>
        <w:rPr>
          <w:rFonts w:eastAsia="Times New Roman" w:cs="Times New Roman"/>
        </w:rPr>
      </w:pPr>
      <w:r w:rsidRPr="00055416">
        <w:rPr>
          <w:rFonts w:eastAsia="Times New Roman" w:cs="Times New Roman"/>
          <w:i/>
          <w:iCs/>
        </w:rPr>
        <w:t xml:space="preserve">Marbury v. Madison (1803) </w:t>
      </w:r>
      <w:r w:rsidR="001F0C97" w:rsidRPr="005F01CB">
        <w:rPr>
          <w:rFonts w:eastAsia="Times New Roman" w:cs="Times New Roman"/>
        </w:rPr>
        <w:t xml:space="preserve">- </w:t>
      </w:r>
      <w:r w:rsidRPr="00055416">
        <w:rPr>
          <w:rFonts w:eastAsia="Times New Roman" w:cs="Times New Roman"/>
        </w:rPr>
        <w:t xml:space="preserve">Established the principle of judicial review empowering the Supreme Court to nullify an act of the legislative or executive branch that violates the Constitution </w:t>
      </w:r>
    </w:p>
    <w:p w:rsidR="00055416" w:rsidRPr="005F01CB" w:rsidRDefault="00055416" w:rsidP="008A6DCE">
      <w:pPr>
        <w:rPr>
          <w:rFonts w:eastAsia="Times New Roman" w:cs="Times New Roman"/>
        </w:rPr>
      </w:pPr>
    </w:p>
    <w:p w:rsidR="00055416" w:rsidRPr="005F01CB" w:rsidRDefault="00055416" w:rsidP="008A6DCE"/>
    <w:sectPr w:rsidR="00055416" w:rsidRPr="005F01CB" w:rsidSect="004A30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0000000000000000000"/>
    <w:charset w:val="00"/>
    <w:family w:val="auto"/>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AF572D"/>
    <w:multiLevelType w:val="hybridMultilevel"/>
    <w:tmpl w:val="37EE0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3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416"/>
    <w:rsid w:val="00055416"/>
    <w:rsid w:val="001562D2"/>
    <w:rsid w:val="001F0C97"/>
    <w:rsid w:val="00315F5F"/>
    <w:rsid w:val="004A3083"/>
    <w:rsid w:val="004D0359"/>
    <w:rsid w:val="0058575C"/>
    <w:rsid w:val="005979A9"/>
    <w:rsid w:val="005F01CB"/>
    <w:rsid w:val="007D60F2"/>
    <w:rsid w:val="008A6DCE"/>
    <w:rsid w:val="008F708C"/>
    <w:rsid w:val="00B85D5F"/>
    <w:rsid w:val="00D31EFD"/>
    <w:rsid w:val="00F77175"/>
    <w:rsid w:val="00F956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34D3C"/>
  <w15:chartTrackingRefBased/>
  <w15:docId w15:val="{D3AAEF8E-F21C-7D4A-A1EA-B9D766852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55416"/>
    <w:rPr>
      <w:b/>
      <w:bCs/>
    </w:rPr>
  </w:style>
  <w:style w:type="paragraph" w:styleId="NormalWeb">
    <w:name w:val="Normal (Web)"/>
    <w:basedOn w:val="Normal"/>
    <w:uiPriority w:val="99"/>
    <w:unhideWhenUsed/>
    <w:rsid w:val="00055416"/>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F771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3025828">
      <w:bodyDiv w:val="1"/>
      <w:marLeft w:val="0"/>
      <w:marRight w:val="0"/>
      <w:marTop w:val="0"/>
      <w:marBottom w:val="0"/>
      <w:divBdr>
        <w:top w:val="none" w:sz="0" w:space="0" w:color="auto"/>
        <w:left w:val="none" w:sz="0" w:space="0" w:color="auto"/>
        <w:bottom w:val="none" w:sz="0" w:space="0" w:color="auto"/>
        <w:right w:val="none" w:sz="0" w:space="0" w:color="auto"/>
      </w:divBdr>
      <w:divsChild>
        <w:div w:id="2075539443">
          <w:marLeft w:val="0"/>
          <w:marRight w:val="0"/>
          <w:marTop w:val="0"/>
          <w:marBottom w:val="0"/>
          <w:divBdr>
            <w:top w:val="none" w:sz="0" w:space="0" w:color="auto"/>
            <w:left w:val="none" w:sz="0" w:space="0" w:color="auto"/>
            <w:bottom w:val="none" w:sz="0" w:space="0" w:color="auto"/>
            <w:right w:val="none" w:sz="0" w:space="0" w:color="auto"/>
          </w:divBdr>
          <w:divsChild>
            <w:div w:id="780148671">
              <w:marLeft w:val="0"/>
              <w:marRight w:val="0"/>
              <w:marTop w:val="0"/>
              <w:marBottom w:val="0"/>
              <w:divBdr>
                <w:top w:val="none" w:sz="0" w:space="0" w:color="auto"/>
                <w:left w:val="none" w:sz="0" w:space="0" w:color="auto"/>
                <w:bottom w:val="none" w:sz="0" w:space="0" w:color="auto"/>
                <w:right w:val="none" w:sz="0" w:space="0" w:color="auto"/>
              </w:divBdr>
              <w:divsChild>
                <w:div w:id="6292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1593239">
      <w:bodyDiv w:val="1"/>
      <w:marLeft w:val="0"/>
      <w:marRight w:val="0"/>
      <w:marTop w:val="0"/>
      <w:marBottom w:val="0"/>
      <w:divBdr>
        <w:top w:val="none" w:sz="0" w:space="0" w:color="auto"/>
        <w:left w:val="none" w:sz="0" w:space="0" w:color="auto"/>
        <w:bottom w:val="none" w:sz="0" w:space="0" w:color="auto"/>
        <w:right w:val="none" w:sz="0" w:space="0" w:color="auto"/>
      </w:divBdr>
      <w:divsChild>
        <w:div w:id="588120615">
          <w:marLeft w:val="0"/>
          <w:marRight w:val="0"/>
          <w:marTop w:val="0"/>
          <w:marBottom w:val="0"/>
          <w:divBdr>
            <w:top w:val="none" w:sz="0" w:space="0" w:color="auto"/>
            <w:left w:val="none" w:sz="0" w:space="0" w:color="auto"/>
            <w:bottom w:val="none" w:sz="0" w:space="0" w:color="auto"/>
            <w:right w:val="none" w:sz="0" w:space="0" w:color="auto"/>
          </w:divBdr>
          <w:divsChild>
            <w:div w:id="1943218743">
              <w:marLeft w:val="0"/>
              <w:marRight w:val="0"/>
              <w:marTop w:val="0"/>
              <w:marBottom w:val="0"/>
              <w:divBdr>
                <w:top w:val="none" w:sz="0" w:space="0" w:color="auto"/>
                <w:left w:val="none" w:sz="0" w:space="0" w:color="auto"/>
                <w:bottom w:val="none" w:sz="0" w:space="0" w:color="auto"/>
                <w:right w:val="none" w:sz="0" w:space="0" w:color="auto"/>
              </w:divBdr>
              <w:divsChild>
                <w:div w:id="53477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246805">
      <w:bodyDiv w:val="1"/>
      <w:marLeft w:val="0"/>
      <w:marRight w:val="0"/>
      <w:marTop w:val="0"/>
      <w:marBottom w:val="0"/>
      <w:divBdr>
        <w:top w:val="none" w:sz="0" w:space="0" w:color="auto"/>
        <w:left w:val="none" w:sz="0" w:space="0" w:color="auto"/>
        <w:bottom w:val="none" w:sz="0" w:space="0" w:color="auto"/>
        <w:right w:val="none" w:sz="0" w:space="0" w:color="auto"/>
      </w:divBdr>
      <w:divsChild>
        <w:div w:id="563834923">
          <w:marLeft w:val="0"/>
          <w:marRight w:val="0"/>
          <w:marTop w:val="0"/>
          <w:marBottom w:val="0"/>
          <w:divBdr>
            <w:top w:val="none" w:sz="0" w:space="0" w:color="auto"/>
            <w:left w:val="none" w:sz="0" w:space="0" w:color="auto"/>
            <w:bottom w:val="none" w:sz="0" w:space="0" w:color="auto"/>
            <w:right w:val="none" w:sz="0" w:space="0" w:color="auto"/>
          </w:divBdr>
          <w:divsChild>
            <w:div w:id="60712798">
              <w:marLeft w:val="0"/>
              <w:marRight w:val="0"/>
              <w:marTop w:val="0"/>
              <w:marBottom w:val="0"/>
              <w:divBdr>
                <w:top w:val="none" w:sz="0" w:space="0" w:color="auto"/>
                <w:left w:val="none" w:sz="0" w:space="0" w:color="auto"/>
                <w:bottom w:val="none" w:sz="0" w:space="0" w:color="auto"/>
                <w:right w:val="none" w:sz="0" w:space="0" w:color="auto"/>
              </w:divBdr>
              <w:divsChild>
                <w:div w:id="25278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635885">
          <w:marLeft w:val="0"/>
          <w:marRight w:val="0"/>
          <w:marTop w:val="0"/>
          <w:marBottom w:val="0"/>
          <w:divBdr>
            <w:top w:val="none" w:sz="0" w:space="0" w:color="auto"/>
            <w:left w:val="none" w:sz="0" w:space="0" w:color="auto"/>
            <w:bottom w:val="none" w:sz="0" w:space="0" w:color="auto"/>
            <w:right w:val="none" w:sz="0" w:space="0" w:color="auto"/>
          </w:divBdr>
          <w:divsChild>
            <w:div w:id="1652712573">
              <w:marLeft w:val="0"/>
              <w:marRight w:val="0"/>
              <w:marTop w:val="0"/>
              <w:marBottom w:val="0"/>
              <w:divBdr>
                <w:top w:val="none" w:sz="0" w:space="0" w:color="auto"/>
                <w:left w:val="none" w:sz="0" w:space="0" w:color="auto"/>
                <w:bottom w:val="none" w:sz="0" w:space="0" w:color="auto"/>
                <w:right w:val="none" w:sz="0" w:space="0" w:color="auto"/>
              </w:divBdr>
              <w:divsChild>
                <w:div w:id="1094593605">
                  <w:marLeft w:val="0"/>
                  <w:marRight w:val="0"/>
                  <w:marTop w:val="0"/>
                  <w:marBottom w:val="0"/>
                  <w:divBdr>
                    <w:top w:val="none" w:sz="0" w:space="0" w:color="auto"/>
                    <w:left w:val="none" w:sz="0" w:space="0" w:color="auto"/>
                    <w:bottom w:val="none" w:sz="0" w:space="0" w:color="auto"/>
                    <w:right w:val="none" w:sz="0" w:space="0" w:color="auto"/>
                  </w:divBdr>
                </w:div>
              </w:divsChild>
            </w:div>
            <w:div w:id="584076256">
              <w:marLeft w:val="0"/>
              <w:marRight w:val="0"/>
              <w:marTop w:val="0"/>
              <w:marBottom w:val="0"/>
              <w:divBdr>
                <w:top w:val="none" w:sz="0" w:space="0" w:color="auto"/>
                <w:left w:val="none" w:sz="0" w:space="0" w:color="auto"/>
                <w:bottom w:val="none" w:sz="0" w:space="0" w:color="auto"/>
                <w:right w:val="none" w:sz="0" w:space="0" w:color="auto"/>
              </w:divBdr>
              <w:divsChild>
                <w:div w:id="74253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16D909-05BE-8E45-8C6C-DDC71B8367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572</Words>
  <Characters>3265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12</cp:revision>
  <cp:lastPrinted>2018-11-29T18:56:00Z</cp:lastPrinted>
  <dcterms:created xsi:type="dcterms:W3CDTF">2018-11-29T18:31:00Z</dcterms:created>
  <dcterms:modified xsi:type="dcterms:W3CDTF">2018-11-29T18:59:00Z</dcterms:modified>
</cp:coreProperties>
</file>